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D0648" w14:textId="77777777" w:rsidR="00817E63" w:rsidRPr="00A10627" w:rsidRDefault="00817E63" w:rsidP="00817E63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6CB3E5C" wp14:editId="6E243493">
            <wp:simplePos x="0" y="0"/>
            <wp:positionH relativeFrom="column">
              <wp:posOffset>-133350</wp:posOffset>
            </wp:positionH>
            <wp:positionV relativeFrom="paragraph">
              <wp:posOffset>12065</wp:posOffset>
            </wp:positionV>
            <wp:extent cx="545911" cy="192124"/>
            <wp:effectExtent l="0" t="0" r="6985" b="0"/>
            <wp:wrapNone/>
            <wp:docPr id="2" name="Imagem 2" descr="LicenÃ§a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cenÃ§a Creative Comm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11" cy="19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6EA45" w14:textId="6C4C10DB" w:rsidR="00474D92" w:rsidRPr="00E43612" w:rsidRDefault="001E46C3" w:rsidP="00474D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43612">
        <w:rPr>
          <w:rFonts w:ascii="Times New Roman" w:hAnsi="Times New Roman"/>
          <w:b/>
          <w:sz w:val="24"/>
          <w:szCs w:val="24"/>
          <w:shd w:val="clear" w:color="auto" w:fill="FFFFFF"/>
        </w:rPr>
        <w:t>APRESENTAÇÃO</w:t>
      </w:r>
    </w:p>
    <w:p w14:paraId="3D2F8F41" w14:textId="77777777" w:rsidR="00E43612" w:rsidRPr="00A10627" w:rsidRDefault="00E43612" w:rsidP="00474D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D364B68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>Os textos que apres</w:t>
      </w:r>
      <w:bookmarkStart w:id="0" w:name="_GoBack"/>
      <w:bookmarkEnd w:id="0"/>
      <w:r w:rsidRPr="00A10627">
        <w:rPr>
          <w:rFonts w:ascii="Times New Roman" w:hAnsi="Times New Roman"/>
          <w:sz w:val="24"/>
          <w:szCs w:val="24"/>
        </w:rPr>
        <w:t xml:space="preserve">entamos neste dossiê sobre </w:t>
      </w:r>
      <w:r w:rsidRPr="00A10627">
        <w:rPr>
          <w:rFonts w:ascii="Times New Roman" w:hAnsi="Times New Roman"/>
          <w:i/>
          <w:iCs/>
          <w:sz w:val="24"/>
          <w:szCs w:val="24"/>
        </w:rPr>
        <w:t>Redes de Pesquisa em Educação</w:t>
      </w:r>
      <w:r w:rsidRPr="00A10627">
        <w:rPr>
          <w:rFonts w:ascii="Times New Roman" w:hAnsi="Times New Roman"/>
          <w:sz w:val="24"/>
          <w:szCs w:val="24"/>
        </w:rPr>
        <w:t xml:space="preserve"> são resultados de processos investigativos solidários, com compromisso social e em equipe, oriundos de núcleos de excelência para o desenvolvimento de temáticas afins, e, consequentemente, para o desenvolvimento acadêmico de seus membros. Sua abrangência envolve diferentes programas de pós-graduação e segmentos da sociedade, trazendo experiências brasileiras e internacionais com o intuito de contribuir para o avanço crítico e criterioso de teorizações, metodologias e inferências que a pesquisa em rede possibilita. </w:t>
      </w:r>
    </w:p>
    <w:p w14:paraId="06F7B5AB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>Na leitura dos artigos, convidamos o leitor para refletir sobre questões fundadoras como as ditas por Carlos Rodrigues Brandão: como tornar a prática da pesquisa na educação um trabalho cooperativo e solidário? Como tornar tantos estilos de pesquisa, quanto os seus praticantes, o mais participante possível? De que maneira viver a investigação científica como uma experiência séria e confiável, ao mesmo tempo que plural, criativa e sempre aberta ao diálogo?</w:t>
      </w:r>
    </w:p>
    <w:p w14:paraId="68010F46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 xml:space="preserve">Para respondê-las, na organização deste dossiê propomos quatro temas: 1) </w:t>
      </w:r>
      <w:bookmarkStart w:id="1" w:name="_Hlk27570361"/>
      <w:r w:rsidRPr="00A10627">
        <w:rPr>
          <w:rFonts w:ascii="Times New Roman" w:hAnsi="Times New Roman"/>
          <w:sz w:val="24"/>
          <w:szCs w:val="24"/>
        </w:rPr>
        <w:t>criação e implantação de redes de pesquisa</w:t>
      </w:r>
      <w:bookmarkEnd w:id="1"/>
      <w:r w:rsidRPr="00A10627">
        <w:rPr>
          <w:rFonts w:ascii="Times New Roman" w:hAnsi="Times New Roman"/>
          <w:sz w:val="24"/>
          <w:szCs w:val="24"/>
        </w:rPr>
        <w:t xml:space="preserve">; 2) referenciais teóricos para aporte aos estudos em rede; 3) apresentação e discussão de resultados de investigações realizadas em rede; 4) teorizações e problematizações dos modelos de análise desenvolvidos em redes; </w:t>
      </w:r>
    </w:p>
    <w:p w14:paraId="0BB3EC71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 xml:space="preserve">O tema </w:t>
      </w:r>
      <w:r w:rsidRPr="00A10627">
        <w:rPr>
          <w:rFonts w:ascii="Times New Roman" w:hAnsi="Times New Roman"/>
          <w:i/>
          <w:iCs/>
          <w:sz w:val="24"/>
          <w:szCs w:val="24"/>
        </w:rPr>
        <w:t xml:space="preserve">Criação e implantação de redes de pesquisa </w:t>
      </w:r>
      <w:r w:rsidRPr="00A10627">
        <w:rPr>
          <w:rFonts w:ascii="Times New Roman" w:hAnsi="Times New Roman"/>
          <w:sz w:val="24"/>
          <w:szCs w:val="24"/>
        </w:rPr>
        <w:t>é abordado</w:t>
      </w:r>
      <w:r w:rsidRPr="00A1062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10627">
        <w:rPr>
          <w:rFonts w:ascii="Times New Roman" w:hAnsi="Times New Roman"/>
          <w:sz w:val="24"/>
          <w:szCs w:val="24"/>
        </w:rPr>
        <w:t>por Egeslaine de Nez (Universidade Federal de Mato Grosso – UFMT, Campus Universitário do Araguaia), Luciane Spanhol Bordignon (Universidade de Passo Fundo – UPF) e Richéle Timm dos Passos da Silva (Universidade Federal de Pelotas – UFPel),  os quais, a partir de experiências vividas na condição de membros participantes do Grupo de Estudos sobre a Universidade (GEU) na Universidade Federal do Rio Grande do Sul (UFRGS), e enquanto coordenadoras locais nos respectivos espaços do GEU na Universidade de Passo Fundo (GEU/UPF), e na Universidade do Estado de Mato Grosso e Universidade Federal de Mato Grosso (GEU/Unemat/UFMT), descrevem a constituição do Grupo de Estudos sobre a Universidade como rede de pesquisa, em contextos emergentes da Educação Superior nacional. As autoras discutem o papel de cada grupo do GEU como catalisador de oportunidades que revigoram a missão das universidades com a formação de novas gerações de pesquisadores, formadores dos formadores, a partir de um compromisso institucional com a comunidade.</w:t>
      </w:r>
    </w:p>
    <w:p w14:paraId="10824FC5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lastRenderedPageBreak/>
        <w:t xml:space="preserve">A temática </w:t>
      </w:r>
      <w:r w:rsidRPr="00A10627">
        <w:rPr>
          <w:rFonts w:ascii="Times New Roman" w:hAnsi="Times New Roman"/>
          <w:i/>
          <w:iCs/>
          <w:sz w:val="24"/>
          <w:szCs w:val="24"/>
        </w:rPr>
        <w:t xml:space="preserve">Referenciais teóricos para aporte aos estudos em rede </w:t>
      </w:r>
      <w:r w:rsidRPr="00A10627">
        <w:rPr>
          <w:rFonts w:ascii="Times New Roman" w:hAnsi="Times New Roman"/>
          <w:sz w:val="24"/>
          <w:szCs w:val="24"/>
        </w:rPr>
        <w:t>é desenvolvida por Alberto Matías González e Shirley Bárbara Hernández del Cristo (Universidad de Sancti Spíritus José Martí Pérez -UNISS, Cuba), os quais participam do esforço de realização e construção social do binômio identidade-diferença na prática dos seres humanos. Os autores realizam uma aproximação teórica ao sentido e à influência desses valores para a educação, em condições de luta pela igualdade social, em um século em que o mundo é revolucionado no campo das tecnologias e onde, por outro lado, florescem intolerâncias e fundamentalismos sociais. Eles pontuam e discutem, da mesma forma, que assim como existem instituições educativas com políticas para favorecer a construção social da identidade, também existem processos de educação que buscam destruir a identidade do outro grupo, sobretudo aquelas instituições que assumem um nacionalismo extremo. A compreensão dessa realidade é essencial para fortalecer o papel das ciências sociais e humanas nos programas de formação de professores, para que estejam preparados para identificar as formas sutis que as configurações ideológicas assumem e para que possam participar de análises críticas com o corpo discente.</w:t>
      </w:r>
    </w:p>
    <w:p w14:paraId="723AEC30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 xml:space="preserve">Na mesma temática, eu, Sueli Teresinha de Abreu Bernardes (Universidade de Uberaba-UNIUBE), integrante de uma rede de pesquisa interdisciplinar, realizo a leitura de representações poéticas do sertão, por meio de uma fenomenologia da imaginação criadora, trazendo a perspectiva teórica do filósofo e professor Gaston Bachelard. O </w:t>
      </w:r>
      <w:r w:rsidRPr="00A10627">
        <w:rPr>
          <w:rFonts w:ascii="Times New Roman" w:hAnsi="Times New Roman"/>
          <w:i/>
          <w:iCs/>
          <w:sz w:val="24"/>
          <w:szCs w:val="24"/>
        </w:rPr>
        <w:t>corpus</w:t>
      </w:r>
      <w:r w:rsidRPr="00A10627">
        <w:rPr>
          <w:rFonts w:ascii="Times New Roman" w:hAnsi="Times New Roman"/>
          <w:sz w:val="24"/>
          <w:szCs w:val="24"/>
        </w:rPr>
        <w:t xml:space="preserve"> de análise são textos literários: a prosa-poesia sobre cenários dos Gerais em </w:t>
      </w:r>
      <w:r w:rsidRPr="00A10627">
        <w:rPr>
          <w:rFonts w:ascii="Times New Roman" w:hAnsi="Times New Roman"/>
          <w:i/>
          <w:iCs/>
          <w:sz w:val="24"/>
          <w:szCs w:val="24"/>
        </w:rPr>
        <w:t>Grande Sertão: Veredas</w:t>
      </w:r>
      <w:r w:rsidRPr="00A10627">
        <w:rPr>
          <w:rFonts w:ascii="Times New Roman" w:hAnsi="Times New Roman"/>
          <w:sz w:val="24"/>
          <w:szCs w:val="24"/>
        </w:rPr>
        <w:t xml:space="preserve">, de João Guimarães Rosa. Dentre as inúmeras abordagens possíveis de cenas e cenários do sertão, escolho as representações poéticas dos Gerais, das águas dos rios, cachoeiras, riachos, riachinhos, veredas e dos amores. Delas, busco o sentido, em um esforço de aproximação com a imaginação criante do autor, procurando assimilar-lhe o devaneio vivido ao dizer o sertão, e fundamentando-me na fenomenologia da imaginação criadora proposta por Bachelard. Argumento, assim, que o pensamento científico demanda uma razão unida à imaginação. </w:t>
      </w:r>
    </w:p>
    <w:p w14:paraId="5983F368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 xml:space="preserve">Em </w:t>
      </w:r>
      <w:r w:rsidRPr="00A10627">
        <w:rPr>
          <w:rFonts w:ascii="Times New Roman" w:hAnsi="Times New Roman"/>
          <w:i/>
          <w:iCs/>
          <w:sz w:val="24"/>
          <w:szCs w:val="24"/>
        </w:rPr>
        <w:t>Teorizações e problematizações de modelos de análise desenvolvidos em redes,</w:t>
      </w:r>
      <w:r w:rsidRPr="00A10627">
        <w:rPr>
          <w:rFonts w:ascii="Times New Roman" w:hAnsi="Times New Roman"/>
          <w:sz w:val="24"/>
          <w:szCs w:val="24"/>
        </w:rPr>
        <w:t xml:space="preserve"> Hamlet Fernández Díaz (Universidad de la Habana-UH, Cuba), integrante de uma pesquisa interdisciplinar interinstitucional, analisa a arte definida nos Parâmetros Curriculares Nacionais – Arte como forma de conhecimento, assim como as ações didáticas propostas nos blocos de conteúdo do documento. O autor enfatiza a problemática da recepção da arte como âmbito de aprendizagem, e, em relação à recepção da arte e ao tipo de comunicação que ela gera, reflete que os PCNs apresentam uma abordagem semiótica e próxima da teoria da recepção contemporânea. Seja na sua versão hermenêutica ou semiótica, essa teoria traz uma perspectiva que assume o trabalho como um texto complexo, uma estrutura semântica ambígua, que gera processos dialógicos abertos e insuspeitados, nos quais o sujeito receptor é obrigado a assumir </w:t>
      </w:r>
      <w:r w:rsidRPr="00A10627">
        <w:rPr>
          <w:rFonts w:ascii="Times New Roman" w:hAnsi="Times New Roman"/>
          <w:sz w:val="24"/>
          <w:szCs w:val="24"/>
        </w:rPr>
        <w:lastRenderedPageBreak/>
        <w:t>um papel ativo e criativo, como coprodutor dos possíveis significados do trabalho. Assim, o significado da obra de arte vai muito além das intenções comunicativas originais do artista.</w:t>
      </w:r>
    </w:p>
    <w:p w14:paraId="361DD44B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>Na abordagem sobre A</w:t>
      </w:r>
      <w:r w:rsidRPr="00A10627">
        <w:rPr>
          <w:rFonts w:ascii="Times New Roman" w:hAnsi="Times New Roman"/>
          <w:i/>
          <w:iCs/>
          <w:sz w:val="24"/>
          <w:szCs w:val="24"/>
        </w:rPr>
        <w:t xml:space="preserve">presentação e discussão de resultados de investigações realizadas em rede, </w:t>
      </w:r>
      <w:r w:rsidRPr="00A10627">
        <w:rPr>
          <w:rFonts w:ascii="Times New Roman" w:hAnsi="Times New Roman"/>
          <w:sz w:val="24"/>
          <w:szCs w:val="24"/>
        </w:rPr>
        <w:t xml:space="preserve">apresentamos quatro trabalhos. No primeiro, Joceli Pereira Roberto e Welisson Marques (Instituo Federal de Educação, Ciência e Tecnologia: campus Uberaba) analisam as concepções de integração que permeiam os discursos do sujeito-professor de Geografia, a partir de suas experiências como docentes. Por meio da Análise do Discurso francesa examinam os discursos do sujeito-professor de diferentes Campi do IFTM. Além disso, pontuam a dualidade histórica entre ensino propedêutico e ensino técnico no Ensino Médio Integrado e seus desdobramentos na prática pedagógica e na prática da pesquisa educacional, em uma abordagem interdisciplinar. Os pesquisadores atestam que inexiste uma inter-relação nesse tipo de ensino investigado. Os professores estão solitários na preparação e execução de suas aulas. </w:t>
      </w:r>
    </w:p>
    <w:p w14:paraId="31661039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>No segundo, Maxwell Luiz da Ponte (Unicamp/UNESP) e Joseli Maria Piranha (Universidade Estadual Paulista-UNESP/Universidade Estadual de Campinas-Unicamp) relatam uma pesquisa sobre atividades formativas em ambientes exteriores à sala de aula (AESA), realizadas no âmbito de uma investigação-ação, junto a comunidades escolares da Estância Hidromineral de Ibirá, São Paulo. Os autores evidenciam que as AESA oportunizaram abordagens interdisciplinares e contextualizadas no ensino e a aquisição de diversas habilidades preconizadas pela Base Nacional Comum Curricular. Eles discutem, ainda, como as atividades realizadas no âmbito dessa investigação-ação resultaram na identificação de diversos lugares educativos em Ibirá, alternativos à sala de aula, relacionando os patrimônios naturais e os construídos do município e as diretivas curriculares da educação básica, articulados de modo interdisciplinar.</w:t>
      </w:r>
    </w:p>
    <w:p w14:paraId="33891F6B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 xml:space="preserve">Em seguida, Gabriela Marcomini de Lima, André Luís Teixeira Fernandes e Ricardo Baratella (Universidade de Uberaba-UNIUBE) trazem um relato de uma pesquisa interdisciplinar e interinstitucional sobre educação socioambiental, e a integração de uma atividade de extensão referente à aplicação de materiais digitais em duas escolas: uma pertencente à rede particular da cidade de Uberaba, MG e outra, da rede estadual de ensino, no município de Itumbiara, GO. Os autores descrevem o atendimento às escolas realizado por alunos do curso de licenciatura em Ciências Biológicas, que realizaram atividades com três dos materiais produzidos: jogos digitais, cartilha e vídeos. O uso destas mídias atraiu a atenção dos jovens para importantes questões socioambientais atuais, tais como o uso racional água e conservação dos recursos hídricos. Uma característica escolar é discutida pelos pesquisadores </w:t>
      </w:r>
      <w:r w:rsidRPr="00A10627">
        <w:rPr>
          <w:rFonts w:ascii="Times New Roman" w:hAnsi="Times New Roman"/>
          <w:sz w:val="24"/>
          <w:szCs w:val="24"/>
        </w:rPr>
        <w:lastRenderedPageBreak/>
        <w:t>que apontam diferenças encontradas entre as escolas privadas – bem aparelhadas – e as públicas que dependem de verba pública para implantação de tecnologias digitais</w:t>
      </w:r>
    </w:p>
    <w:p w14:paraId="2E871501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>No quarto artigo dessa temática, Anelise Martinelli Borges Oliveira (Universidade Federal do Triângulo Mineiro-UFTM) discute a educação primária em Uberaba no início do século XX. Para tanto, utiliza como fonte o principal periódico em circulação da época, o jornal Lavoura e Comércio, no que diz respeito à concepção que se tinha de instrução pública, da função da inspeção de ensino, do papel do professor no processo ensino-aprendizagem e do comportamento que era esperado do aluno. A autora demonstra que as informações encontradas no referido periódico vão ao encontro da concepção de educação primária que se tinha a nível nacional no início do período republicano. Para além de um trabalho que se limitasse apenas a descrever as informações encontradas, o texto interpreta os fatos educacionais dentro de movimentos políticos e sociais mais amplos, situando tais informações dentro do contexto em que foram produzidos.</w:t>
      </w:r>
    </w:p>
    <w:p w14:paraId="0F3D85A2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>Esperamos que a divulgação dos resultados dessas pesquisas possa contribuir para a consolidação de pesquisas educacionais em rede. Tal consolidação poderá contribuir para o diálogo e a partilha de um conhecimento atrelado ao compromisso de buscar respostas para a superação das desigualdades sociais, o grande desafio de nossos dias.</w:t>
      </w:r>
    </w:p>
    <w:p w14:paraId="463C4928" w14:textId="77777777" w:rsidR="001E46C3" w:rsidRPr="00A10627" w:rsidRDefault="001E46C3" w:rsidP="00A10627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14:paraId="11CF4AF1" w14:textId="77777777" w:rsidR="001E46C3" w:rsidRPr="00A10627" w:rsidRDefault="001E46C3" w:rsidP="00A10627">
      <w:pPr>
        <w:spacing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A10627">
        <w:rPr>
          <w:rFonts w:ascii="Times New Roman" w:hAnsi="Times New Roman"/>
          <w:sz w:val="24"/>
          <w:szCs w:val="24"/>
        </w:rPr>
        <w:t>Sueli Teresinha de Abreu Bernardes</w:t>
      </w:r>
    </w:p>
    <w:p w14:paraId="587AB6FF" w14:textId="77777777" w:rsidR="00474D92" w:rsidRPr="00A10627" w:rsidRDefault="00474D92" w:rsidP="00474D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474D92" w:rsidRPr="00A10627" w:rsidSect="00704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701" w:header="851" w:footer="6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96071" w14:textId="77777777" w:rsidR="00817E63" w:rsidRDefault="00817E63" w:rsidP="00817E63">
      <w:r>
        <w:separator/>
      </w:r>
    </w:p>
  </w:endnote>
  <w:endnote w:type="continuationSeparator" w:id="0">
    <w:p w14:paraId="14CC946D" w14:textId="77777777" w:rsidR="00817E63" w:rsidRDefault="00817E63" w:rsidP="0081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F4DF2" w14:textId="467F6FE4" w:rsidR="002F6DA8" w:rsidRPr="003A121A" w:rsidRDefault="006D0A74" w:rsidP="002F6DA8">
    <w:pPr>
      <w:pStyle w:val="Rodap"/>
      <w:framePr w:wrap="around" w:vAnchor="text" w:hAnchor="page" w:x="1634" w:y="172"/>
      <w:rPr>
        <w:rStyle w:val="Nmerodepgina"/>
        <w:rFonts w:ascii="Times New Roman" w:hAnsi="Times New Roman"/>
        <w:sz w:val="16"/>
      </w:rPr>
    </w:pPr>
    <w:r w:rsidRPr="003A121A">
      <w:rPr>
        <w:rStyle w:val="Nmerodepgina"/>
        <w:rFonts w:ascii="Times New Roman" w:hAnsi="Times New Roman"/>
        <w:sz w:val="16"/>
      </w:rPr>
      <w:fldChar w:fldCharType="begin"/>
    </w:r>
    <w:r w:rsidRPr="003A121A">
      <w:rPr>
        <w:rStyle w:val="Nmerodepgina"/>
        <w:rFonts w:ascii="Times New Roman" w:hAnsi="Times New Roman"/>
        <w:sz w:val="16"/>
      </w:rPr>
      <w:instrText xml:space="preserve">PAGE  </w:instrText>
    </w:r>
    <w:r w:rsidRPr="003A121A">
      <w:rPr>
        <w:rStyle w:val="Nmerodepgina"/>
        <w:rFonts w:ascii="Times New Roman" w:hAnsi="Times New Roman"/>
        <w:sz w:val="16"/>
      </w:rPr>
      <w:fldChar w:fldCharType="separate"/>
    </w:r>
    <w:r w:rsidR="00E43612">
      <w:rPr>
        <w:rStyle w:val="Nmerodepgina"/>
        <w:rFonts w:ascii="Times New Roman" w:hAnsi="Times New Roman"/>
        <w:noProof/>
        <w:sz w:val="16"/>
      </w:rPr>
      <w:t>2</w:t>
    </w:r>
    <w:r w:rsidRPr="003A121A">
      <w:rPr>
        <w:rStyle w:val="Nmerodepgina"/>
        <w:rFonts w:ascii="Times New Roman" w:hAnsi="Times New Roman"/>
        <w:sz w:val="16"/>
      </w:rPr>
      <w:fldChar w:fldCharType="end"/>
    </w:r>
  </w:p>
  <w:p w14:paraId="0D8DF257" w14:textId="77777777" w:rsidR="001C6420" w:rsidRPr="00C40E83" w:rsidRDefault="006D0A74" w:rsidP="003D35B2">
    <w:pPr>
      <w:pStyle w:val="Rodap"/>
      <w:ind w:right="282"/>
      <w:rPr>
        <w:rFonts w:ascii="Times New Roman" w:hAnsi="Times New Roman"/>
        <w:sz w:val="18"/>
        <w:szCs w:val="16"/>
      </w:rPr>
    </w:pPr>
    <w:r w:rsidRPr="00C40E83">
      <w:rPr>
        <w:rFonts w:ascii="Times New Roman" w:hAnsi="Times New Roman"/>
        <w:sz w:val="18"/>
        <w:szCs w:val="16"/>
      </w:rPr>
      <w:t xml:space="preserve">                                                                                                          </w:t>
    </w:r>
  </w:p>
  <w:p w14:paraId="1996BAA4" w14:textId="432A1D9C" w:rsidR="003D35B2" w:rsidRPr="00EC5ACF" w:rsidRDefault="006D0A74" w:rsidP="00F673BC">
    <w:pPr>
      <w:pStyle w:val="Rodap"/>
      <w:ind w:right="-1"/>
      <w:jc w:val="right"/>
      <w:rPr>
        <w:rFonts w:ascii="Times New Roman" w:hAnsi="Times New Roman"/>
        <w:sz w:val="16"/>
        <w:szCs w:val="16"/>
        <w:lang w:val="en-GB"/>
      </w:rPr>
    </w:pPr>
    <w:r w:rsidRPr="00C77C1B">
      <w:rPr>
        <w:rFonts w:ascii="Times New Roman" w:hAnsi="Times New Roman"/>
        <w:sz w:val="16"/>
        <w:szCs w:val="16"/>
      </w:rPr>
      <w:t xml:space="preserve">  </w:t>
    </w:r>
    <w:r w:rsidR="00C77C1B" w:rsidRPr="00EC5ACF">
      <w:rPr>
        <w:rFonts w:ascii="Times New Roman" w:hAnsi="Times New Roman"/>
        <w:sz w:val="16"/>
        <w:szCs w:val="16"/>
        <w:lang w:val="en-GB"/>
      </w:rPr>
      <w:t>RPD, Uberaba-MG, v.</w:t>
    </w:r>
    <w:r w:rsidR="000E1A76" w:rsidRPr="00EC5ACF">
      <w:rPr>
        <w:rFonts w:ascii="Times New Roman" w:hAnsi="Times New Roman"/>
        <w:sz w:val="16"/>
        <w:szCs w:val="16"/>
        <w:lang w:val="en-GB"/>
      </w:rPr>
      <w:t>19</w:t>
    </w:r>
    <w:r w:rsidR="00C77C1B" w:rsidRPr="00EC5ACF">
      <w:rPr>
        <w:rFonts w:ascii="Times New Roman" w:hAnsi="Times New Roman"/>
        <w:sz w:val="16"/>
        <w:szCs w:val="16"/>
        <w:lang w:val="en-GB"/>
      </w:rPr>
      <w:t>, n.4</w:t>
    </w:r>
    <w:r w:rsidR="00A10627">
      <w:rPr>
        <w:rFonts w:ascii="Times New Roman" w:hAnsi="Times New Roman"/>
        <w:sz w:val="16"/>
        <w:szCs w:val="16"/>
        <w:lang w:val="en-GB"/>
      </w:rPr>
      <w:t>2</w:t>
    </w:r>
    <w:r w:rsidR="00C77C1B" w:rsidRPr="00EC5ACF">
      <w:rPr>
        <w:rFonts w:ascii="Times New Roman" w:hAnsi="Times New Roman"/>
        <w:sz w:val="16"/>
        <w:szCs w:val="16"/>
        <w:lang w:val="en-GB"/>
      </w:rPr>
      <w:t>, p.</w:t>
    </w:r>
    <w:r w:rsidR="00634AFE" w:rsidRPr="00EC5ACF">
      <w:rPr>
        <w:rFonts w:ascii="Times New Roman" w:hAnsi="Times New Roman"/>
        <w:sz w:val="16"/>
        <w:szCs w:val="16"/>
        <w:lang w:val="en-GB"/>
      </w:rPr>
      <w:t>01</w:t>
    </w:r>
    <w:r w:rsidR="00C77C1B" w:rsidRPr="00EC5ACF">
      <w:rPr>
        <w:rFonts w:ascii="Times New Roman" w:hAnsi="Times New Roman"/>
        <w:sz w:val="16"/>
        <w:szCs w:val="16"/>
        <w:lang w:val="en-GB"/>
      </w:rPr>
      <w:t>-</w:t>
    </w:r>
    <w:r w:rsidR="00FD1927">
      <w:rPr>
        <w:rFonts w:ascii="Times New Roman" w:hAnsi="Times New Roman"/>
        <w:sz w:val="16"/>
        <w:szCs w:val="16"/>
        <w:lang w:val="en-GB"/>
      </w:rPr>
      <w:t>0</w:t>
    </w:r>
    <w:r w:rsidR="00A10627">
      <w:rPr>
        <w:rFonts w:ascii="Times New Roman" w:hAnsi="Times New Roman"/>
        <w:sz w:val="16"/>
        <w:szCs w:val="16"/>
        <w:lang w:val="en-GB"/>
      </w:rPr>
      <w:t>4</w:t>
    </w:r>
    <w:r w:rsidR="00C77C1B" w:rsidRPr="00EC5ACF">
      <w:rPr>
        <w:rFonts w:ascii="Times New Roman" w:hAnsi="Times New Roman"/>
        <w:sz w:val="16"/>
        <w:szCs w:val="16"/>
        <w:lang w:val="en-GB"/>
      </w:rPr>
      <w:t xml:space="preserve">, </w:t>
    </w:r>
    <w:r w:rsidR="00A10627">
      <w:rPr>
        <w:rFonts w:ascii="Times New Roman" w:hAnsi="Times New Roman"/>
        <w:sz w:val="16"/>
        <w:szCs w:val="16"/>
        <w:lang w:val="en-GB"/>
      </w:rPr>
      <w:t>set</w:t>
    </w:r>
    <w:r w:rsidR="001834BF" w:rsidRPr="00EC5ACF">
      <w:rPr>
        <w:rFonts w:ascii="Times New Roman" w:hAnsi="Times New Roman"/>
        <w:sz w:val="16"/>
        <w:szCs w:val="16"/>
        <w:lang w:val="en-GB"/>
      </w:rPr>
      <w:t>.</w:t>
    </w:r>
    <w:r w:rsidR="00C77C1B" w:rsidRPr="00EC5ACF">
      <w:rPr>
        <w:rFonts w:ascii="Times New Roman" w:hAnsi="Times New Roman"/>
        <w:sz w:val="16"/>
        <w:szCs w:val="16"/>
        <w:lang w:val="en-GB"/>
      </w:rPr>
      <w:t>/</w:t>
    </w:r>
    <w:r w:rsidR="00A10627">
      <w:rPr>
        <w:rFonts w:ascii="Times New Roman" w:hAnsi="Times New Roman"/>
        <w:sz w:val="16"/>
        <w:szCs w:val="16"/>
        <w:lang w:val="en-GB"/>
      </w:rPr>
      <w:t>dez</w:t>
    </w:r>
    <w:r w:rsidR="001834BF" w:rsidRPr="00EC5ACF">
      <w:rPr>
        <w:rFonts w:ascii="Times New Roman" w:hAnsi="Times New Roman"/>
        <w:sz w:val="16"/>
        <w:szCs w:val="16"/>
        <w:lang w:val="en-GB"/>
      </w:rPr>
      <w:t>.</w:t>
    </w:r>
    <w:r w:rsidR="00C77C1B" w:rsidRPr="00EC5ACF">
      <w:rPr>
        <w:rFonts w:ascii="Times New Roman" w:hAnsi="Times New Roman"/>
        <w:sz w:val="16"/>
        <w:szCs w:val="16"/>
        <w:lang w:val="en-GB"/>
      </w:rPr>
      <w:t xml:space="preserve"> 2019, ISSN 1519-0919</w:t>
    </w:r>
  </w:p>
  <w:p w14:paraId="4682E08C" w14:textId="77777777" w:rsidR="00B91B0A" w:rsidRPr="00EC5ACF" w:rsidRDefault="006D0A74" w:rsidP="004D1C46">
    <w:pPr>
      <w:pStyle w:val="Rodap"/>
      <w:tabs>
        <w:tab w:val="clear" w:pos="8504"/>
        <w:tab w:val="left" w:pos="450"/>
        <w:tab w:val="right" w:pos="9071"/>
      </w:tabs>
      <w:rPr>
        <w:lang w:val="en-GB"/>
      </w:rPr>
    </w:pPr>
    <w:r w:rsidRPr="00EC5ACF">
      <w:rPr>
        <w:lang w:val="en-GB"/>
      </w:rPr>
      <w:tab/>
    </w:r>
    <w:r w:rsidRPr="00EC5ACF">
      <w:rPr>
        <w:lang w:val="en-GB"/>
      </w:rPr>
      <w:tab/>
    </w:r>
    <w:r w:rsidRPr="00EC5ACF">
      <w:rPr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3ABEF" w14:textId="7F6A4DE6" w:rsidR="00AD5B69" w:rsidRPr="00F70AE6" w:rsidRDefault="006D0A74" w:rsidP="00EC50AE">
    <w:pPr>
      <w:pStyle w:val="Rodap"/>
      <w:framePr w:wrap="around" w:vAnchor="text" w:hAnchor="page" w:x="10651" w:y="197"/>
      <w:rPr>
        <w:rStyle w:val="Nmerodepgina"/>
        <w:rFonts w:ascii="Times New Roman" w:hAnsi="Times New Roman"/>
        <w:sz w:val="16"/>
        <w:szCs w:val="20"/>
      </w:rPr>
    </w:pPr>
    <w:r w:rsidRPr="00F70AE6">
      <w:rPr>
        <w:rStyle w:val="Nmerodepgina"/>
        <w:rFonts w:ascii="Times New Roman" w:hAnsi="Times New Roman"/>
        <w:sz w:val="16"/>
        <w:szCs w:val="20"/>
      </w:rPr>
      <w:fldChar w:fldCharType="begin"/>
    </w:r>
    <w:r w:rsidRPr="00F70AE6">
      <w:rPr>
        <w:rStyle w:val="Nmerodepgina"/>
        <w:rFonts w:ascii="Times New Roman" w:hAnsi="Times New Roman"/>
        <w:sz w:val="16"/>
        <w:szCs w:val="20"/>
      </w:rPr>
      <w:instrText xml:space="preserve">PAGE  </w:instrText>
    </w:r>
    <w:r w:rsidRPr="00F70AE6">
      <w:rPr>
        <w:rStyle w:val="Nmerodepgina"/>
        <w:rFonts w:ascii="Times New Roman" w:hAnsi="Times New Roman"/>
        <w:sz w:val="16"/>
        <w:szCs w:val="20"/>
      </w:rPr>
      <w:fldChar w:fldCharType="separate"/>
    </w:r>
    <w:r w:rsidR="00A10627">
      <w:rPr>
        <w:rStyle w:val="Nmerodepgina"/>
        <w:rFonts w:ascii="Times New Roman" w:hAnsi="Times New Roman"/>
        <w:noProof/>
        <w:sz w:val="16"/>
        <w:szCs w:val="20"/>
      </w:rPr>
      <w:t>3</w:t>
    </w:r>
    <w:r w:rsidRPr="00F70AE6">
      <w:rPr>
        <w:rStyle w:val="Nmerodepgina"/>
        <w:rFonts w:ascii="Times New Roman" w:hAnsi="Times New Roman"/>
        <w:sz w:val="16"/>
        <w:szCs w:val="20"/>
      </w:rPr>
      <w:fldChar w:fldCharType="end"/>
    </w:r>
  </w:p>
  <w:p w14:paraId="48A7BD26" w14:textId="77777777" w:rsidR="00EC50AE" w:rsidRDefault="00E43612" w:rsidP="00E32C92">
    <w:pPr>
      <w:widowControl w:val="0"/>
      <w:autoSpaceDE w:val="0"/>
      <w:autoSpaceDN w:val="0"/>
      <w:adjustRightInd w:val="0"/>
      <w:rPr>
        <w:rFonts w:ascii="Times New Roman" w:hAnsi="Times New Roman"/>
        <w:sz w:val="18"/>
        <w:szCs w:val="16"/>
        <w:lang w:val="es-ES" w:eastAsia="es-ES"/>
      </w:rPr>
    </w:pPr>
  </w:p>
  <w:p w14:paraId="66104606" w14:textId="68151889" w:rsidR="00B91B0A" w:rsidRPr="00C77C1B" w:rsidRDefault="00C77C1B" w:rsidP="00F70AE6">
    <w:pPr>
      <w:pStyle w:val="Rodap"/>
      <w:ind w:right="282"/>
      <w:rPr>
        <w:rFonts w:ascii="Times New Roman" w:hAnsi="Times New Roman"/>
        <w:sz w:val="24"/>
        <w:lang w:val="es-ES"/>
      </w:rPr>
    </w:pPr>
    <w:r w:rsidRPr="00634AFE">
      <w:rPr>
        <w:rFonts w:ascii="Times New Roman" w:hAnsi="Times New Roman"/>
        <w:sz w:val="16"/>
        <w:szCs w:val="16"/>
        <w:lang w:val="es-ES" w:eastAsia="es-ES"/>
      </w:rPr>
      <w:t>RPD, Uberaba-MG, v.</w:t>
    </w:r>
    <w:r w:rsidR="000E1A76" w:rsidRPr="00634AFE">
      <w:rPr>
        <w:rFonts w:ascii="Times New Roman" w:hAnsi="Times New Roman"/>
        <w:sz w:val="16"/>
        <w:szCs w:val="16"/>
        <w:lang w:val="es-ES" w:eastAsia="es-ES"/>
      </w:rPr>
      <w:t>19</w:t>
    </w:r>
    <w:r w:rsidRPr="00634AFE">
      <w:rPr>
        <w:rFonts w:ascii="Times New Roman" w:hAnsi="Times New Roman"/>
        <w:sz w:val="16"/>
        <w:szCs w:val="16"/>
        <w:lang w:val="es-ES" w:eastAsia="es-ES"/>
      </w:rPr>
      <w:t>, n.41, p.</w:t>
    </w:r>
    <w:r w:rsidR="00634AFE" w:rsidRPr="00634AFE">
      <w:rPr>
        <w:rFonts w:ascii="Times New Roman" w:hAnsi="Times New Roman"/>
        <w:sz w:val="16"/>
        <w:szCs w:val="16"/>
        <w:lang w:val="es-ES" w:eastAsia="es-ES"/>
      </w:rPr>
      <w:t>01</w:t>
    </w:r>
    <w:r w:rsidRPr="00634AFE">
      <w:rPr>
        <w:rFonts w:ascii="Times New Roman" w:hAnsi="Times New Roman"/>
        <w:sz w:val="16"/>
        <w:szCs w:val="16"/>
        <w:lang w:val="es-ES" w:eastAsia="es-ES"/>
      </w:rPr>
      <w:t>-</w:t>
    </w:r>
    <w:r w:rsidR="001E46C3">
      <w:rPr>
        <w:rFonts w:ascii="Times New Roman" w:hAnsi="Times New Roman"/>
        <w:sz w:val="16"/>
        <w:szCs w:val="16"/>
        <w:lang w:val="es-ES" w:eastAsia="es-ES"/>
      </w:rPr>
      <w:t>0</w:t>
    </w:r>
    <w:r w:rsidR="00A10627">
      <w:rPr>
        <w:rFonts w:ascii="Times New Roman" w:hAnsi="Times New Roman"/>
        <w:sz w:val="16"/>
        <w:szCs w:val="16"/>
        <w:lang w:val="es-ES" w:eastAsia="es-ES"/>
      </w:rPr>
      <w:t>4</w:t>
    </w:r>
    <w:r w:rsidRPr="00634AFE">
      <w:rPr>
        <w:rFonts w:ascii="Times New Roman" w:hAnsi="Times New Roman"/>
        <w:sz w:val="16"/>
        <w:szCs w:val="16"/>
        <w:lang w:val="es-ES" w:eastAsia="es-ES"/>
      </w:rPr>
      <w:t>,</w:t>
    </w:r>
    <w:r w:rsidR="001834BF" w:rsidRPr="00634AFE">
      <w:rPr>
        <w:rFonts w:ascii="Times New Roman" w:hAnsi="Times New Roman"/>
        <w:sz w:val="16"/>
        <w:szCs w:val="16"/>
        <w:lang w:val="es-ES" w:eastAsia="es-ES"/>
      </w:rPr>
      <w:t xml:space="preserve"> </w:t>
    </w:r>
    <w:r w:rsidR="001E46C3">
      <w:rPr>
        <w:rFonts w:ascii="Times New Roman" w:hAnsi="Times New Roman"/>
        <w:sz w:val="16"/>
        <w:szCs w:val="16"/>
        <w:lang w:val="es-ES" w:eastAsia="es-ES"/>
      </w:rPr>
      <w:t>set</w:t>
    </w:r>
    <w:r w:rsidR="001834BF" w:rsidRPr="00634AFE">
      <w:rPr>
        <w:rFonts w:ascii="Times New Roman" w:hAnsi="Times New Roman"/>
        <w:sz w:val="16"/>
        <w:szCs w:val="16"/>
        <w:lang w:val="es-ES" w:eastAsia="es-ES"/>
      </w:rPr>
      <w:t>./</w:t>
    </w:r>
    <w:r w:rsidR="001E46C3">
      <w:rPr>
        <w:rFonts w:ascii="Times New Roman" w:hAnsi="Times New Roman"/>
        <w:sz w:val="16"/>
        <w:szCs w:val="16"/>
        <w:lang w:val="es-ES" w:eastAsia="es-ES"/>
      </w:rPr>
      <w:t>dez</w:t>
    </w:r>
    <w:r w:rsidR="001834BF" w:rsidRPr="00634AFE">
      <w:rPr>
        <w:rFonts w:ascii="Times New Roman" w:hAnsi="Times New Roman"/>
        <w:sz w:val="16"/>
        <w:szCs w:val="16"/>
        <w:lang w:val="es-ES" w:eastAsia="es-ES"/>
      </w:rPr>
      <w:t>.</w:t>
    </w:r>
    <w:r w:rsidRPr="00634AFE">
      <w:rPr>
        <w:rFonts w:ascii="Times New Roman" w:hAnsi="Times New Roman"/>
        <w:sz w:val="16"/>
        <w:szCs w:val="16"/>
        <w:lang w:val="es-ES" w:eastAsia="es-ES"/>
      </w:rPr>
      <w:t xml:space="preserve"> 2019, ISSN</w:t>
    </w:r>
    <w:r w:rsidRPr="00C77C1B">
      <w:rPr>
        <w:rFonts w:ascii="Times New Roman" w:hAnsi="Times New Roman"/>
        <w:sz w:val="16"/>
        <w:szCs w:val="16"/>
        <w:lang w:val="es-ES" w:eastAsia="es-ES"/>
      </w:rPr>
      <w:t xml:space="preserve"> 1519-0919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4F9D" w14:textId="0CAD21D1" w:rsidR="00547D0A" w:rsidRPr="00F70AE6" w:rsidRDefault="006D0A74" w:rsidP="00547D0A">
    <w:pPr>
      <w:pStyle w:val="Rodap"/>
      <w:framePr w:wrap="around" w:vAnchor="text" w:hAnchor="page" w:x="10663" w:y="143"/>
      <w:rPr>
        <w:rStyle w:val="Nmerodepgina"/>
        <w:rFonts w:ascii="Times New Roman" w:hAnsi="Times New Roman"/>
        <w:sz w:val="16"/>
        <w:szCs w:val="20"/>
      </w:rPr>
    </w:pPr>
    <w:r w:rsidRPr="00704D8A">
      <w:rPr>
        <w:rStyle w:val="Nmerodepgina"/>
        <w:rFonts w:ascii="Times New Roman" w:hAnsi="Times New Roman"/>
        <w:sz w:val="16"/>
        <w:szCs w:val="20"/>
      </w:rPr>
      <w:fldChar w:fldCharType="begin"/>
    </w:r>
    <w:r w:rsidRPr="00704D8A">
      <w:rPr>
        <w:rStyle w:val="Nmerodepgina"/>
        <w:rFonts w:ascii="Times New Roman" w:hAnsi="Times New Roman"/>
        <w:sz w:val="16"/>
        <w:szCs w:val="20"/>
      </w:rPr>
      <w:instrText xml:space="preserve">PAGE  </w:instrText>
    </w:r>
    <w:r w:rsidRPr="00704D8A">
      <w:rPr>
        <w:rStyle w:val="Nmerodepgina"/>
        <w:rFonts w:ascii="Times New Roman" w:hAnsi="Times New Roman"/>
        <w:sz w:val="16"/>
        <w:szCs w:val="20"/>
      </w:rPr>
      <w:fldChar w:fldCharType="separate"/>
    </w:r>
    <w:r w:rsidR="00E43612">
      <w:rPr>
        <w:rStyle w:val="Nmerodepgina"/>
        <w:rFonts w:ascii="Times New Roman" w:hAnsi="Times New Roman"/>
        <w:noProof/>
        <w:sz w:val="16"/>
        <w:szCs w:val="20"/>
      </w:rPr>
      <w:t>1</w:t>
    </w:r>
    <w:r w:rsidRPr="00704D8A">
      <w:rPr>
        <w:rStyle w:val="Nmerodepgina"/>
        <w:rFonts w:ascii="Times New Roman" w:hAnsi="Times New Roman"/>
        <w:sz w:val="16"/>
        <w:szCs w:val="20"/>
      </w:rPr>
      <w:fldChar w:fldCharType="end"/>
    </w:r>
  </w:p>
  <w:p w14:paraId="56C50ACF" w14:textId="77777777" w:rsidR="001C6420" w:rsidRDefault="00E43612" w:rsidP="001C6420">
    <w:pPr>
      <w:pStyle w:val="Rodap"/>
      <w:tabs>
        <w:tab w:val="clear" w:pos="4252"/>
      </w:tabs>
      <w:ind w:right="282"/>
      <w:rPr>
        <w:rFonts w:ascii="Times New Roman" w:hAnsi="Times New Roman"/>
        <w:sz w:val="16"/>
        <w:szCs w:val="16"/>
        <w:lang w:val="es-ES" w:eastAsia="es-ES"/>
      </w:rPr>
    </w:pPr>
  </w:p>
  <w:p w14:paraId="603C79B2" w14:textId="2C4132E5" w:rsidR="001C6420" w:rsidRPr="001C6420" w:rsidRDefault="006D0A74" w:rsidP="001C6420">
    <w:pPr>
      <w:pStyle w:val="Rodap"/>
      <w:tabs>
        <w:tab w:val="clear" w:pos="4252"/>
      </w:tabs>
      <w:ind w:right="282"/>
      <w:rPr>
        <w:rFonts w:ascii="Times New Roman" w:hAnsi="Times New Roman"/>
        <w:sz w:val="16"/>
        <w:szCs w:val="16"/>
        <w:lang w:val="es-ES" w:eastAsia="es-ES"/>
      </w:rPr>
    </w:pPr>
    <w:r w:rsidRPr="00C77C1B">
      <w:rPr>
        <w:rFonts w:ascii="Times New Roman" w:hAnsi="Times New Roman"/>
        <w:sz w:val="16"/>
        <w:szCs w:val="16"/>
        <w:lang w:val="es-ES" w:eastAsia="es-ES"/>
      </w:rPr>
      <w:t>RPD, Uberaba-MG, v.</w:t>
    </w:r>
    <w:r w:rsidR="000E1A76">
      <w:rPr>
        <w:rFonts w:ascii="Times New Roman" w:hAnsi="Times New Roman"/>
        <w:sz w:val="16"/>
        <w:szCs w:val="16"/>
        <w:lang w:val="es-ES" w:eastAsia="es-ES"/>
      </w:rPr>
      <w:t>19</w:t>
    </w:r>
    <w:r w:rsidRPr="00C77C1B">
      <w:rPr>
        <w:rFonts w:ascii="Times New Roman" w:hAnsi="Times New Roman"/>
        <w:sz w:val="16"/>
        <w:szCs w:val="16"/>
        <w:lang w:val="es-ES" w:eastAsia="es-ES"/>
      </w:rPr>
      <w:t>, n.4</w:t>
    </w:r>
    <w:r w:rsidR="001E46C3">
      <w:rPr>
        <w:rFonts w:ascii="Times New Roman" w:hAnsi="Times New Roman"/>
        <w:sz w:val="16"/>
        <w:szCs w:val="16"/>
        <w:lang w:val="es-ES" w:eastAsia="es-ES"/>
      </w:rPr>
      <w:t>2</w:t>
    </w:r>
    <w:r w:rsidRPr="00634AFE">
      <w:rPr>
        <w:rFonts w:ascii="Times New Roman" w:hAnsi="Times New Roman"/>
        <w:sz w:val="16"/>
        <w:szCs w:val="16"/>
        <w:lang w:val="es-ES" w:eastAsia="es-ES"/>
      </w:rPr>
      <w:t>, p.</w:t>
    </w:r>
    <w:r w:rsidR="00634AFE" w:rsidRPr="00634AFE">
      <w:rPr>
        <w:rFonts w:ascii="Times New Roman" w:hAnsi="Times New Roman"/>
        <w:sz w:val="16"/>
        <w:szCs w:val="16"/>
        <w:lang w:val="es-ES" w:eastAsia="es-ES"/>
      </w:rPr>
      <w:t>01</w:t>
    </w:r>
    <w:r w:rsidR="00704D8A" w:rsidRPr="00634AFE">
      <w:rPr>
        <w:rFonts w:ascii="Times New Roman" w:hAnsi="Times New Roman"/>
        <w:sz w:val="16"/>
        <w:szCs w:val="16"/>
        <w:lang w:val="es-ES" w:eastAsia="es-ES"/>
      </w:rPr>
      <w:t>-</w:t>
    </w:r>
    <w:r w:rsidR="00FD1927">
      <w:rPr>
        <w:rFonts w:ascii="Times New Roman" w:hAnsi="Times New Roman"/>
        <w:sz w:val="16"/>
        <w:szCs w:val="16"/>
        <w:lang w:val="es-ES" w:eastAsia="es-ES"/>
      </w:rPr>
      <w:t>0</w:t>
    </w:r>
    <w:r w:rsidR="00A10627">
      <w:rPr>
        <w:rFonts w:ascii="Times New Roman" w:hAnsi="Times New Roman"/>
        <w:sz w:val="16"/>
        <w:szCs w:val="16"/>
        <w:lang w:val="es-ES" w:eastAsia="es-ES"/>
      </w:rPr>
      <w:t>4</w:t>
    </w:r>
    <w:r w:rsidRPr="00634AFE">
      <w:rPr>
        <w:rFonts w:ascii="Times New Roman" w:hAnsi="Times New Roman"/>
        <w:sz w:val="16"/>
        <w:szCs w:val="16"/>
        <w:lang w:val="es-ES" w:eastAsia="es-ES"/>
      </w:rPr>
      <w:t xml:space="preserve">, </w:t>
    </w:r>
    <w:r w:rsidR="001E46C3">
      <w:rPr>
        <w:rFonts w:ascii="Times New Roman" w:hAnsi="Times New Roman"/>
        <w:sz w:val="16"/>
        <w:szCs w:val="16"/>
        <w:lang w:val="es-ES" w:eastAsia="es-ES"/>
      </w:rPr>
      <w:t>set</w:t>
    </w:r>
    <w:r w:rsidR="001834BF" w:rsidRPr="001834BF">
      <w:rPr>
        <w:rFonts w:ascii="Times New Roman" w:hAnsi="Times New Roman"/>
        <w:sz w:val="16"/>
        <w:szCs w:val="16"/>
        <w:lang w:val="es-ES" w:eastAsia="es-ES"/>
      </w:rPr>
      <w:t>./</w:t>
    </w:r>
    <w:r w:rsidR="001E46C3">
      <w:rPr>
        <w:rFonts w:ascii="Times New Roman" w:hAnsi="Times New Roman"/>
        <w:sz w:val="16"/>
        <w:szCs w:val="16"/>
        <w:lang w:val="es-ES" w:eastAsia="es-ES"/>
      </w:rPr>
      <w:t>dez</w:t>
    </w:r>
    <w:r w:rsidR="001834BF" w:rsidRPr="001834BF">
      <w:rPr>
        <w:rFonts w:ascii="Times New Roman" w:hAnsi="Times New Roman"/>
        <w:sz w:val="16"/>
        <w:szCs w:val="16"/>
        <w:lang w:val="es-ES" w:eastAsia="es-ES"/>
      </w:rPr>
      <w:t>.</w:t>
    </w:r>
    <w:r w:rsidRPr="001834BF">
      <w:rPr>
        <w:rFonts w:ascii="Times New Roman" w:hAnsi="Times New Roman"/>
        <w:sz w:val="16"/>
        <w:szCs w:val="16"/>
        <w:lang w:val="es-ES" w:eastAsia="es-ES"/>
      </w:rPr>
      <w:t xml:space="preserve"> 2019, ISSN 1519-0919</w:t>
    </w:r>
    <w:r>
      <w:rPr>
        <w:rFonts w:ascii="Times New Roman" w:hAnsi="Times New Roman"/>
        <w:sz w:val="16"/>
        <w:szCs w:val="16"/>
        <w:lang w:val="es-ES" w:eastAsia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2B4B8" w14:textId="77777777" w:rsidR="00817E63" w:rsidRDefault="00817E63" w:rsidP="00817E63">
      <w:r>
        <w:separator/>
      </w:r>
    </w:p>
  </w:footnote>
  <w:footnote w:type="continuationSeparator" w:id="0">
    <w:p w14:paraId="141B453C" w14:textId="77777777" w:rsidR="00817E63" w:rsidRDefault="00817E63" w:rsidP="0081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E0ABF" w14:textId="77777777" w:rsidR="00821825" w:rsidRPr="00821825" w:rsidRDefault="00821825" w:rsidP="00821825">
    <w:pPr>
      <w:jc w:val="left"/>
      <w:rPr>
        <w:rFonts w:ascii="Times New Roman" w:hAnsi="Times New Roman"/>
        <w:color w:val="000000"/>
        <w:sz w:val="16"/>
        <w:szCs w:val="16"/>
        <w:highlight w:val="yellow"/>
        <w:shd w:val="clear" w:color="auto" w:fill="FFFFFF"/>
      </w:rPr>
    </w:pPr>
  </w:p>
  <w:p w14:paraId="1FEF02CD" w14:textId="77777777" w:rsidR="003A121A" w:rsidRPr="001C6420" w:rsidRDefault="00E43612" w:rsidP="001C6420">
    <w:pPr>
      <w:pStyle w:val="Cabealho"/>
      <w:rPr>
        <w:rFonts w:ascii="Century Schoolbook" w:eastAsia="Times New Roman" w:hAnsi="Century Schoolbook"/>
        <w:color w:val="0000FF"/>
        <w:sz w:val="8"/>
        <w:szCs w:val="16"/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E70E" w14:textId="77777777" w:rsidR="00FB76C5" w:rsidRPr="00FB76C5" w:rsidRDefault="00891769" w:rsidP="00891769">
    <w:pPr>
      <w:pBdr>
        <w:top w:val="nil"/>
        <w:left w:val="nil"/>
        <w:bottom w:val="nil"/>
        <w:right w:val="nil"/>
        <w:between w:val="nil"/>
      </w:pBdr>
      <w:ind w:left="5103"/>
      <w:jc w:val="right"/>
      <w:rPr>
        <w:rFonts w:ascii="Times New Roman" w:hAnsi="Times New Roman"/>
        <w:color w:val="FF0000"/>
        <w:sz w:val="16"/>
        <w:szCs w:val="16"/>
        <w:shd w:val="clear" w:color="auto" w:fill="FFFFFF"/>
      </w:rPr>
    </w:pPr>
    <w:r w:rsidRPr="00891769">
      <w:rPr>
        <w:rFonts w:ascii="Times New Roman" w:hAnsi="Times New Roman"/>
        <w:sz w:val="16"/>
        <w:szCs w:val="16"/>
        <w:shd w:val="clear" w:color="auto" w:fill="FFFFFF"/>
      </w:rPr>
      <w:t>Educação e desigualdade social na atualidade: uma discussão a partir do conceito de pensamento abissal</w:t>
    </w:r>
  </w:p>
  <w:p w14:paraId="38BDF1A2" w14:textId="77777777" w:rsidR="00B91B0A" w:rsidRPr="00180C43" w:rsidRDefault="00E43612" w:rsidP="00F61E0C">
    <w:pPr>
      <w:widowControl w:val="0"/>
      <w:autoSpaceDE w:val="0"/>
      <w:autoSpaceDN w:val="0"/>
      <w:adjustRightInd w:val="0"/>
      <w:rPr>
        <w:rFonts w:ascii="Times" w:hAnsi="Times" w:cs="Times"/>
        <w:sz w:val="24"/>
        <w:szCs w:val="24"/>
        <w:lang w:val="es-E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6AA0F" w14:textId="77777777" w:rsidR="00553119" w:rsidRDefault="006D0A74" w:rsidP="00553119">
    <w:pPr>
      <w:widowControl w:val="0"/>
      <w:autoSpaceDE w:val="0"/>
      <w:autoSpaceDN w:val="0"/>
      <w:adjustRightInd w:val="0"/>
      <w:jc w:val="right"/>
      <w:rPr>
        <w:rFonts w:ascii="Times" w:hAnsi="Times" w:cs="Times"/>
        <w:sz w:val="24"/>
        <w:szCs w:val="24"/>
        <w:lang w:val="es-ES" w:eastAsia="es-ES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8E30D32" wp14:editId="497E2635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939165" cy="40767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78CA071" wp14:editId="38F3B2B8">
          <wp:simplePos x="0" y="0"/>
          <wp:positionH relativeFrom="column">
            <wp:posOffset>939165</wp:posOffset>
          </wp:positionH>
          <wp:positionV relativeFrom="paragraph">
            <wp:posOffset>-5080</wp:posOffset>
          </wp:positionV>
          <wp:extent cx="175260" cy="617855"/>
          <wp:effectExtent l="0" t="0" r="0" b="0"/>
          <wp:wrapNone/>
          <wp:docPr id="19" name="Imagem 19" descr="G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 w:cs="Times"/>
        <w:sz w:val="24"/>
        <w:szCs w:val="24"/>
        <w:lang w:val="es-ES" w:eastAsia="es-ES"/>
      </w:rPr>
      <w:t xml:space="preserve">                                           </w:t>
    </w:r>
  </w:p>
  <w:p w14:paraId="1AC6D9DE" w14:textId="77777777" w:rsidR="00553119" w:rsidRPr="004A73CF" w:rsidRDefault="006D0A74" w:rsidP="00553119">
    <w:pPr>
      <w:widowControl w:val="0"/>
      <w:autoSpaceDE w:val="0"/>
      <w:autoSpaceDN w:val="0"/>
      <w:adjustRightInd w:val="0"/>
      <w:jc w:val="right"/>
      <w:rPr>
        <w:rFonts w:ascii="Century Gothic" w:hAnsi="Century Gothic" w:cs="Times"/>
        <w:b/>
        <w:color w:val="2E74B5"/>
        <w:sz w:val="20"/>
        <w:szCs w:val="24"/>
        <w:lang w:val="es-ES" w:eastAsia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73CF">
      <w:rPr>
        <w:rFonts w:ascii="Century Gothic" w:hAnsi="Century Gothic" w:cs="Times"/>
        <w:color w:val="2E74B5"/>
        <w:sz w:val="20"/>
        <w:szCs w:val="24"/>
        <w:lang w:val="es-ES" w:eastAsia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Programa de Pós-graduação - </w:t>
    </w:r>
    <w:r w:rsidRPr="004A73CF">
      <w:rPr>
        <w:rFonts w:ascii="Century Gothic" w:hAnsi="Century Gothic" w:cs="Times"/>
        <w:b/>
        <w:color w:val="2E74B5"/>
        <w:sz w:val="20"/>
        <w:szCs w:val="24"/>
        <w:lang w:val="es-ES" w:eastAsia="es-E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UNIUBE</w:t>
    </w:r>
  </w:p>
  <w:p w14:paraId="59A0DA03" w14:textId="77777777" w:rsidR="00A32106" w:rsidRPr="00804FB6" w:rsidRDefault="00E43612" w:rsidP="00A32106">
    <w:pPr>
      <w:widowControl w:val="0"/>
      <w:autoSpaceDE w:val="0"/>
      <w:autoSpaceDN w:val="0"/>
      <w:adjustRightInd w:val="0"/>
      <w:rPr>
        <w:rFonts w:ascii="Times" w:hAnsi="Times" w:cs="Times"/>
        <w:sz w:val="8"/>
        <w:szCs w:val="24"/>
        <w:lang w:val="es-ES" w:eastAsia="es-ES"/>
      </w:rPr>
    </w:pPr>
  </w:p>
  <w:p w14:paraId="0AD8800E" w14:textId="77777777" w:rsidR="00A32106" w:rsidRDefault="006D0A74" w:rsidP="00A32106">
    <w:pPr>
      <w:widowControl w:val="0"/>
      <w:autoSpaceDE w:val="0"/>
      <w:autoSpaceDN w:val="0"/>
      <w:adjustRightInd w:val="0"/>
      <w:jc w:val="right"/>
      <w:rPr>
        <w:rFonts w:cs="Calibri"/>
        <w:sz w:val="16"/>
        <w:szCs w:val="16"/>
        <w:lang w:val="es-ES" w:eastAsia="es-ES"/>
      </w:rPr>
    </w:pPr>
    <w:r>
      <w:rPr>
        <w:rFonts w:ascii="Times" w:hAnsi="Times" w:cs="Times"/>
        <w:sz w:val="24"/>
        <w:szCs w:val="24"/>
        <w:lang w:val="es-ES" w:eastAsia="es-ES"/>
      </w:rPr>
      <w:t xml:space="preserve"> </w:t>
    </w:r>
    <w:r w:rsidRPr="001834BF">
      <w:rPr>
        <w:rFonts w:ascii="Times New Roman" w:hAnsi="Times New Roman"/>
        <w:sz w:val="16"/>
        <w:szCs w:val="16"/>
        <w:lang w:val="es-ES" w:eastAsia="es-ES"/>
      </w:rPr>
      <w:t>DOI: http://dx.</w:t>
    </w:r>
    <w:r w:rsidR="00817E63" w:rsidRPr="001834BF">
      <w:rPr>
        <w:rFonts w:ascii="Times New Roman" w:hAnsi="Times New Roman"/>
        <w:sz w:val="16"/>
        <w:szCs w:val="16"/>
        <w:lang w:val="es-ES" w:eastAsia="es-ES"/>
      </w:rPr>
      <w:t>doi.org/10.31496/rpd.v</w:t>
    </w:r>
    <w:r w:rsidR="000E1A76">
      <w:rPr>
        <w:rFonts w:ascii="Times New Roman" w:hAnsi="Times New Roman"/>
        <w:sz w:val="16"/>
        <w:szCs w:val="16"/>
        <w:lang w:val="es-ES" w:eastAsia="es-ES"/>
      </w:rPr>
      <w:t>19</w:t>
    </w:r>
    <w:r w:rsidR="00817E63" w:rsidRPr="001834BF">
      <w:rPr>
        <w:rFonts w:ascii="Times New Roman" w:hAnsi="Times New Roman"/>
        <w:sz w:val="16"/>
        <w:szCs w:val="16"/>
        <w:lang w:val="es-ES" w:eastAsia="es-ES"/>
      </w:rPr>
      <w:t>i4</w:t>
    </w:r>
    <w:r w:rsidR="001E46C3">
      <w:rPr>
        <w:rFonts w:ascii="Times New Roman" w:hAnsi="Times New Roman"/>
        <w:sz w:val="16"/>
        <w:szCs w:val="16"/>
        <w:lang w:val="es-ES" w:eastAsia="es-ES"/>
      </w:rPr>
      <w:t>2</w:t>
    </w:r>
    <w:r w:rsidR="00817E63" w:rsidRPr="001834BF">
      <w:rPr>
        <w:rFonts w:ascii="Times New Roman" w:hAnsi="Times New Roman"/>
        <w:sz w:val="16"/>
        <w:szCs w:val="16"/>
        <w:lang w:val="es-ES" w:eastAsia="es-ES"/>
      </w:rPr>
      <w:t>.</w:t>
    </w:r>
    <w:r w:rsidR="001E46C3">
      <w:rPr>
        <w:rFonts w:ascii="Times New Roman" w:hAnsi="Times New Roman"/>
        <w:sz w:val="16"/>
        <w:szCs w:val="16"/>
        <w:lang w:val="es-ES" w:eastAsia="es-ES"/>
      </w:rPr>
      <w:t>xxxx</w:t>
    </w:r>
  </w:p>
  <w:p w14:paraId="2EB56032" w14:textId="77777777" w:rsidR="00A32106" w:rsidRDefault="006D0A74">
    <w:pPr>
      <w:pStyle w:val="Cabealho"/>
      <w:rPr>
        <w:rFonts w:ascii="Century Schoolbook" w:eastAsia="Times New Roman" w:hAnsi="Century Schoolbook"/>
        <w:color w:val="0000FF"/>
        <w:sz w:val="16"/>
        <w:szCs w:val="16"/>
        <w:lang w:eastAsia="pt-BR"/>
      </w:rPr>
    </w:pPr>
    <w:r w:rsidRPr="008E1C98">
      <w:rPr>
        <w:rFonts w:ascii="Century Schoolbook" w:eastAsia="Times New Roman" w:hAnsi="Century Schoolbook"/>
        <w:color w:val="0000FF"/>
        <w:sz w:val="16"/>
        <w:szCs w:val="16"/>
        <w:lang w:eastAsia="pt-BR"/>
      </w:rPr>
      <w:t>_________________________________________________________________________________________________________________</w:t>
    </w:r>
  </w:p>
  <w:p w14:paraId="7F382019" w14:textId="77777777" w:rsidR="00A32106" w:rsidRPr="00A32106" w:rsidRDefault="00E43612">
    <w:pPr>
      <w:pStyle w:val="Cabealho"/>
      <w:rPr>
        <w:rFonts w:ascii="Palatino Linotype" w:hAnsi="Palatino Linotype"/>
        <w:color w:val="0000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FD4"/>
    <w:multiLevelType w:val="hybridMultilevel"/>
    <w:tmpl w:val="9828E3D4"/>
    <w:lvl w:ilvl="0" w:tplc="CCE867B2">
      <w:start w:val="1"/>
      <w:numFmt w:val="upperRoman"/>
      <w:pStyle w:val="Ttulo2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70BD"/>
    <w:multiLevelType w:val="hybridMultilevel"/>
    <w:tmpl w:val="BE5C7636"/>
    <w:lvl w:ilvl="0" w:tplc="D9B4861E">
      <w:start w:val="1"/>
      <w:numFmt w:val="decimal"/>
      <w:pStyle w:val="Ttulo3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63"/>
    <w:rsid w:val="000555B1"/>
    <w:rsid w:val="00057360"/>
    <w:rsid w:val="00072A4B"/>
    <w:rsid w:val="000834CF"/>
    <w:rsid w:val="00085932"/>
    <w:rsid w:val="00093D5B"/>
    <w:rsid w:val="000B4474"/>
    <w:rsid w:val="000E1A76"/>
    <w:rsid w:val="00166138"/>
    <w:rsid w:val="001834BF"/>
    <w:rsid w:val="0019290F"/>
    <w:rsid w:val="00197AEA"/>
    <w:rsid w:val="001D5570"/>
    <w:rsid w:val="001D7F44"/>
    <w:rsid w:val="001E46C3"/>
    <w:rsid w:val="001F6BF4"/>
    <w:rsid w:val="002354A3"/>
    <w:rsid w:val="00235B49"/>
    <w:rsid w:val="00347A01"/>
    <w:rsid w:val="00386396"/>
    <w:rsid w:val="003F3B78"/>
    <w:rsid w:val="0041186D"/>
    <w:rsid w:val="004221CC"/>
    <w:rsid w:val="00452C5B"/>
    <w:rsid w:val="004540C5"/>
    <w:rsid w:val="00466F8C"/>
    <w:rsid w:val="00474D92"/>
    <w:rsid w:val="004770B0"/>
    <w:rsid w:val="005E41C9"/>
    <w:rsid w:val="005F09E7"/>
    <w:rsid w:val="00634AFE"/>
    <w:rsid w:val="006411C8"/>
    <w:rsid w:val="00660327"/>
    <w:rsid w:val="0066412F"/>
    <w:rsid w:val="00685241"/>
    <w:rsid w:val="006B28BC"/>
    <w:rsid w:val="006D0A74"/>
    <w:rsid w:val="0070335C"/>
    <w:rsid w:val="00704D8A"/>
    <w:rsid w:val="00740B32"/>
    <w:rsid w:val="007E4818"/>
    <w:rsid w:val="007E5B7C"/>
    <w:rsid w:val="00817AA5"/>
    <w:rsid w:val="00817E63"/>
    <w:rsid w:val="00821825"/>
    <w:rsid w:val="00891769"/>
    <w:rsid w:val="008933F9"/>
    <w:rsid w:val="008B3568"/>
    <w:rsid w:val="00944775"/>
    <w:rsid w:val="00A01CDC"/>
    <w:rsid w:val="00A10627"/>
    <w:rsid w:val="00A54B0E"/>
    <w:rsid w:val="00AD76EC"/>
    <w:rsid w:val="00AE2B2B"/>
    <w:rsid w:val="00B23505"/>
    <w:rsid w:val="00B35496"/>
    <w:rsid w:val="00BE06BF"/>
    <w:rsid w:val="00C240F8"/>
    <w:rsid w:val="00C3022E"/>
    <w:rsid w:val="00C4013A"/>
    <w:rsid w:val="00C60200"/>
    <w:rsid w:val="00C77C1B"/>
    <w:rsid w:val="00D92788"/>
    <w:rsid w:val="00D939EC"/>
    <w:rsid w:val="00E04EF7"/>
    <w:rsid w:val="00E3282E"/>
    <w:rsid w:val="00E43612"/>
    <w:rsid w:val="00E454FC"/>
    <w:rsid w:val="00E73CA5"/>
    <w:rsid w:val="00EC5ACF"/>
    <w:rsid w:val="00EE6EB0"/>
    <w:rsid w:val="00F233D3"/>
    <w:rsid w:val="00F347FC"/>
    <w:rsid w:val="00FB76C5"/>
    <w:rsid w:val="00FD1927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81C0200"/>
  <w15:chartTrackingRefBased/>
  <w15:docId w15:val="{9AA20B88-7902-4260-BE64-D3FB5419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63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7E63"/>
    <w:pPr>
      <w:keepNext/>
      <w:keepLines/>
      <w:numPr>
        <w:numId w:val="2"/>
      </w:numPr>
      <w:spacing w:line="360" w:lineRule="auto"/>
      <w:ind w:left="36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17E63"/>
    <w:pPr>
      <w:keepNext/>
      <w:keepLines/>
      <w:numPr>
        <w:numId w:val="1"/>
      </w:numPr>
      <w:spacing w:line="360" w:lineRule="auto"/>
      <w:ind w:left="1068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17E6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17E63"/>
    <w:rPr>
      <w:rFonts w:ascii="Times New Roman" w:eastAsiaTheme="majorEastAsia" w:hAnsi="Times New Roman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817E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17E6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817E6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17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7E6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17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7E6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17E63"/>
    <w:rPr>
      <w:color w:val="0000FF"/>
      <w:u w:val="single"/>
    </w:rPr>
  </w:style>
  <w:style w:type="character" w:styleId="Nmerodepgina">
    <w:name w:val="page number"/>
    <w:unhideWhenUsed/>
    <w:rsid w:val="00817E63"/>
  </w:style>
  <w:style w:type="paragraph" w:customStyle="1" w:styleId="Default">
    <w:name w:val="Default"/>
    <w:rsid w:val="00817E6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17E63"/>
    <w:pPr>
      <w:suppressAutoHyphens/>
      <w:ind w:left="708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817E63"/>
    <w:pPr>
      <w:spacing w:after="0" w:line="240" w:lineRule="auto"/>
      <w:ind w:left="2268" w:firstLine="709"/>
      <w:jc w:val="both"/>
    </w:pPr>
    <w:rPr>
      <w:rFonts w:ascii="Times New Roman" w:hAnsi="Times New Roman"/>
      <w:sz w:val="20"/>
    </w:rPr>
  </w:style>
  <w:style w:type="character" w:styleId="CitaoHTML">
    <w:name w:val="HTML Cite"/>
    <w:basedOn w:val="Fontepargpadro"/>
    <w:uiPriority w:val="99"/>
    <w:semiHidden/>
    <w:unhideWhenUsed/>
    <w:rsid w:val="00817E63"/>
    <w:rPr>
      <w:i/>
      <w:iCs/>
    </w:rPr>
  </w:style>
  <w:style w:type="paragraph" w:styleId="NormalWeb">
    <w:name w:val="Normal (Web)"/>
    <w:basedOn w:val="Normal"/>
    <w:uiPriority w:val="99"/>
    <w:unhideWhenUsed/>
    <w:rsid w:val="0038639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">
    <w:name w:val="Corpo"/>
    <w:rsid w:val="006641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E46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46C3"/>
    <w:pPr>
      <w:jc w:val="left"/>
    </w:pPr>
    <w:rPr>
      <w:rFonts w:ascii="Times New Roman" w:eastAsiaTheme="minorHAnsi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46C3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46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6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F165-721E-4B6D-B916-FAA84E66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1556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Marilene Ribeiro Resende;fernanda.profs</dc:creator>
  <cp:keywords/>
  <dc:description/>
  <cp:lastModifiedBy>.</cp:lastModifiedBy>
  <cp:revision>6</cp:revision>
  <dcterms:created xsi:type="dcterms:W3CDTF">2019-12-20T18:02:00Z</dcterms:created>
  <dcterms:modified xsi:type="dcterms:W3CDTF">2019-12-20T18:19:00Z</dcterms:modified>
</cp:coreProperties>
</file>